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Borrower Name(s):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John Smith                                                                  .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Property Address: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123 Main St. Orlando, FL 33313                                                .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Loan Number: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1234565445                           .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Monthly Income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tabs>
          <w:tab w:val="left" w:leader="none" w:pos="6480"/>
        </w:tabs>
        <w:spacing w:before="280" w:lineRule="auto"/>
        <w:ind w:left="720" w:right="9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Gross Wages (Borrower):       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2,800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tabs>
          <w:tab w:val="left" w:leader="none" w:pos="6480"/>
        </w:tabs>
        <w:ind w:left="720" w:right="9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Gross Wages (Co-Borrower):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1,200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leader="none" w:pos="6480"/>
        </w:tabs>
        <w:spacing w:after="280" w:lineRule="auto"/>
        <w:ind w:left="720" w:right="90" w:hanging="360"/>
        <w:rPr>
          <w:rFonts w:ascii="Poppins Light" w:cs="Poppins Light" w:eastAsia="Poppins Light" w:hAnsi="Poppins Light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Other Income:                          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200                  </w:t>
      </w:r>
    </w:p>
    <w:p w:rsidR="00000000" w:rsidDel="00000000" w:rsidP="00000000" w:rsidRDefault="00000000" w:rsidRPr="00000000" w14:paraId="00000006">
      <w:pPr>
        <w:tabs>
          <w:tab w:val="left" w:leader="none" w:pos="6480"/>
        </w:tabs>
        <w:spacing w:after="280" w:lineRule="auto"/>
        <w:ind w:left="0" w:right="9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Total Monthly Income:              </w:t>
        <w:tab/>
        <w:t xml:space="preserve">$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4,200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480"/>
        </w:tabs>
        <w:spacing w:after="280" w:before="28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Monthly Expenses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tabs>
          <w:tab w:val="left" w:leader="none" w:pos="6480"/>
        </w:tabs>
        <w:spacing w:before="28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Mortgage Payment (PITI):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1,600                .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HOA Fees:                                                            </w:t>
        <w:tab/>
        <w:t xml:space="preserve">$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150                  .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Utilities (electric, water, phone, internet):     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325                 .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Food &amp; Household Supplies: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450                 .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Car Payment(s):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350                 .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Car Insurance: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180                  .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Health Insurance: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300                 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Medical Expenses (co-pays, prescriptions):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120                  .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Credit Cards: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400                 .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Student Loans: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200                 .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6480"/>
        </w:tabs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Other Loans/Obligations: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150                  .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6480"/>
        </w:tabs>
        <w:spacing w:after="280" w:lineRule="auto"/>
        <w:ind w:left="720" w:right="-63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Personal/Other Expenses: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200                 .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480"/>
        </w:tabs>
        <w:spacing w:after="280" w:before="280" w:lineRule="auto"/>
        <w:ind w:left="0" w:right="-63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Total Monthly Expenses: </w:t>
        <w:tab/>
        <w:t xml:space="preserve">$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4,425                   .</w:t>
      </w:r>
    </w:p>
    <w:p w:rsidR="00000000" w:rsidDel="00000000" w:rsidP="00000000" w:rsidRDefault="00000000" w:rsidRPr="00000000" w14:paraId="00000015">
      <w:pPr>
        <w:tabs>
          <w:tab w:val="left" w:leader="none" w:pos="6480"/>
        </w:tabs>
        <w:spacing w:after="280" w:before="280" w:lineRule="auto"/>
        <w:ind w:left="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Net Surplus/Deficit: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225/month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480"/>
        </w:tabs>
        <w:spacing w:after="280" w:before="280" w:lineRule="auto"/>
        <w:ind w:left="0" w:right="0" w:firstLine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480"/>
        </w:tabs>
        <w:spacing w:after="280" w:before="28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Assets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6480"/>
        </w:tabs>
        <w:spacing w:before="28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Checking Account: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500              .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6480"/>
        </w:tabs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Savings Account: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0              .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6480"/>
        </w:tabs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Retirement: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2,000                .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6480"/>
        </w:tabs>
        <w:spacing w:after="28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Vehicle Equity: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0               .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480"/>
        </w:tabs>
        <w:spacing w:after="280" w:before="28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Liabilities (Debts)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leader="none" w:pos="6480"/>
        </w:tabs>
        <w:spacing w:before="28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Credit Card Balances: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8,500                .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6480"/>
        </w:tabs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Student Loans: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12,000               .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leader="none" w:pos="6480"/>
        </w:tabs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Car Loan Balance: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6,200                .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tabs>
          <w:tab w:val="left" w:leader="none" w:pos="6480"/>
        </w:tabs>
        <w:spacing w:after="280" w:lineRule="auto"/>
        <w:ind w:left="720" w:right="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Other Debts: </w:t>
        <w:tab/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110                   .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1440" w:right="261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oppi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estrial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-1440" w:right="-1440" w:firstLine="0"/>
      <w:jc w:val="center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</w:rPr>
      <w:drawing>
        <wp:inline distB="114300" distT="114300" distL="114300" distR="114300">
          <wp:extent cx="5943600" cy="889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8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left="-1440" w:right="-1440" w:firstLine="0"/>
      <w:jc w:val="center"/>
      <w:rPr/>
    </w:pPr>
    <w:r w:rsidDel="00000000" w:rsidR="00000000" w:rsidRPr="00000000">
      <w:rPr>
        <w:rFonts w:ascii="Questrial" w:cs="Questrial" w:eastAsia="Questrial" w:hAnsi="Questrial"/>
        <w:color w:val="674ea7"/>
        <w:rtl w:val="0"/>
      </w:rPr>
      <w:t xml:space="preserve">108 N Depot Drive, Ft. Pierce, FL 34950 </w:t>
    </w:r>
    <w:hyperlink r:id="rId2">
      <w:r w:rsidDel="00000000" w:rsidR="00000000" w:rsidRPr="00000000">
        <w:rPr>
          <w:rFonts w:ascii="Questrial" w:cs="Questrial" w:eastAsia="Questrial" w:hAnsi="Questrial"/>
          <w:color w:val="674ea7"/>
          <w:rtl w:val="0"/>
        </w:rPr>
        <w:t xml:space="preserve">michele@treasurecoastagent.com</w:t>
      </w:r>
    </w:hyperlink>
    <w:r w:rsidDel="00000000" w:rsidR="00000000" w:rsidRPr="00000000">
      <w:rPr>
        <w:rFonts w:ascii="Questrial" w:cs="Questrial" w:eastAsia="Questrial" w:hAnsi="Questrial"/>
        <w:color w:val="674ea7"/>
        <w:rtl w:val="0"/>
      </w:rPr>
      <w:t xml:space="preserve">  561-309-2950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-1440" w:right="-1440" w:firstLine="0"/>
      <w:jc w:val="center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</w:rPr>
      <w:drawing>
        <wp:inline distB="114300" distT="114300" distL="114300" distR="114300">
          <wp:extent cx="5943600" cy="889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8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ind w:left="-1440" w:right="-1440" w:firstLine="0"/>
      <w:jc w:val="center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color w:val="674ea7"/>
        <w:rtl w:val="0"/>
      </w:rPr>
      <w:t xml:space="preserve">108 N Depot Drive, Ft. Pierce, FL 34950 </w:t>
    </w:r>
    <w:hyperlink r:id="rId2">
      <w:r w:rsidDel="00000000" w:rsidR="00000000" w:rsidRPr="00000000">
        <w:rPr>
          <w:rFonts w:ascii="Questrial" w:cs="Questrial" w:eastAsia="Questrial" w:hAnsi="Questrial"/>
          <w:color w:val="674ea7"/>
          <w:rtl w:val="0"/>
        </w:rPr>
        <w:t xml:space="preserve">michele@treasurecoastagent.com</w:t>
      </w:r>
    </w:hyperlink>
    <w:r w:rsidDel="00000000" w:rsidR="00000000" w:rsidRPr="00000000">
      <w:rPr>
        <w:rFonts w:ascii="Questrial" w:cs="Questrial" w:eastAsia="Questrial" w:hAnsi="Questrial"/>
        <w:color w:val="674ea7"/>
        <w:rtl w:val="0"/>
      </w:rPr>
      <w:t xml:space="preserve">  561-309-2950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14400" cy="578901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5789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-1440" w:righ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88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8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-1440" w:right="-1440" w:firstLine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62063" cy="79536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7953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left="-1440" w:righ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889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8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estrial" w:cs="Questrial" w:eastAsia="Questrial" w:hAnsi="Questrial"/>
        <w:sz w:val="22"/>
        <w:szCs w:val="22"/>
        <w:lang w:val="en"/>
      </w:rPr>
    </w:rPrDefault>
    <w:pPrDefault>
      <w:pPr>
        <w:ind w:left="-200" w:right="-20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  <w:ind w:right="-200"/>
    </w:pPr>
    <w:rPr>
      <w:rFonts w:ascii="Questrial" w:cs="Questrial" w:eastAsia="Questrial" w:hAnsi="Questrial"/>
      <w:color w:val="674ea7"/>
      <w:sz w:val="58"/>
      <w:szCs w:val="5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  <w:ind w:right="-200"/>
    </w:pPr>
    <w:rPr>
      <w:rFonts w:ascii="Questrial" w:cs="Questrial" w:eastAsia="Questrial" w:hAnsi="Questrial"/>
      <w:color w:val="674ea7"/>
      <w:sz w:val="44"/>
      <w:szCs w:val="4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  <w:ind w:right="-200"/>
    </w:pPr>
    <w:rPr>
      <w:rFonts w:ascii="Questrial" w:cs="Questrial" w:eastAsia="Questrial" w:hAnsi="Questrial"/>
      <w:color w:val="351c75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  <w:ind w:right="-200"/>
    </w:pPr>
    <w:rPr>
      <w:rFonts w:ascii="Questrial" w:cs="Questrial" w:eastAsia="Questrial" w:hAnsi="Questrial"/>
      <w:color w:val="674ea7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40" w:lineRule="auto"/>
      <w:ind w:left="-200" w:right="-200" w:firstLine="0"/>
    </w:pPr>
    <w:rPr>
      <w:rFonts w:ascii="Questrial" w:cs="Questrial" w:eastAsia="Questrial" w:hAnsi="Questrial"/>
      <w:color w:val="674ea7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40" w:lineRule="auto"/>
      <w:ind w:left="-200" w:right="-200" w:firstLine="0"/>
    </w:pPr>
    <w:rPr>
      <w:rFonts w:ascii="Questrial" w:cs="Questrial" w:eastAsia="Questrial" w:hAnsi="Quest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Light-regular.ttf"/><Relationship Id="rId2" Type="http://schemas.openxmlformats.org/officeDocument/2006/relationships/font" Target="fonts/PoppinsLight-bold.ttf"/><Relationship Id="rId3" Type="http://schemas.openxmlformats.org/officeDocument/2006/relationships/font" Target="fonts/PoppinsLight-italic.ttf"/><Relationship Id="rId4" Type="http://schemas.openxmlformats.org/officeDocument/2006/relationships/font" Target="fonts/PoppinsLight-boldItalic.ttf"/><Relationship Id="rId5" Type="http://schemas.openxmlformats.org/officeDocument/2006/relationships/font" Target="fonts/Questrial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ichele@treasurecoastagent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ichele@treasurecoastagen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